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CC61B" w14:textId="77777777" w:rsidR="00624BA7" w:rsidRDefault="00624BA7" w:rsidP="00624BA7">
      <w:pPr>
        <w:pStyle w:val="xxp1"/>
        <w:spacing w:before="0" w:beforeAutospacing="0" w:after="0" w:afterAutospacing="0"/>
        <w:rPr>
          <w:rFonts w:ascii="Calibri" w:hAnsi="Calibri" w:cs="Calibri"/>
          <w:sz w:val="22"/>
          <w:szCs w:val="22"/>
        </w:rPr>
      </w:pPr>
      <w:r>
        <w:rPr>
          <w:rStyle w:val="xxs2"/>
          <w:rFonts w:ascii="Calibri" w:hAnsi="Calibri" w:cs="Calibri"/>
          <w:sz w:val="22"/>
          <w:szCs w:val="22"/>
        </w:rPr>
        <w:t>ECU Health Physicians and ECU Health Medical Center are seeking a fellowship- trained Emergency Medicine and Medical Toxicology physician to join our medical toxicology efforts in the Department of Emergency Medicine, at ECU Health Medical Center in Greenville, North Carolina.</w:t>
      </w:r>
      <w:r>
        <w:rPr>
          <w:rStyle w:val="xxapple-converted-space"/>
          <w:rFonts w:ascii="Calibri" w:hAnsi="Calibri" w:cs="Calibri"/>
          <w:sz w:val="22"/>
          <w:szCs w:val="22"/>
        </w:rPr>
        <w:t> </w:t>
      </w:r>
    </w:p>
    <w:p w14:paraId="5B28BF6A" w14:textId="77777777" w:rsidR="00624BA7" w:rsidRDefault="00624BA7" w:rsidP="00624BA7">
      <w:pPr>
        <w:pStyle w:val="xxp1"/>
        <w:spacing w:before="0" w:beforeAutospacing="0" w:after="0" w:afterAutospacing="0"/>
        <w:rPr>
          <w:rFonts w:ascii="Calibri" w:hAnsi="Calibri" w:cs="Calibri"/>
          <w:sz w:val="22"/>
          <w:szCs w:val="22"/>
        </w:rPr>
      </w:pPr>
      <w:r>
        <w:rPr>
          <w:rStyle w:val="xxs2"/>
          <w:rFonts w:ascii="Calibri" w:hAnsi="Calibri" w:cs="Calibri"/>
          <w:sz w:val="22"/>
          <w:szCs w:val="22"/>
        </w:rPr>
        <w:t>The successful candidate will help grow our educational programs, research, and participate in our residency associated clinical medical toxicology inpatient consult service.</w:t>
      </w:r>
      <w:r>
        <w:rPr>
          <w:rStyle w:val="xxapple-converted-space"/>
          <w:rFonts w:ascii="Calibri" w:hAnsi="Calibri" w:cs="Calibri"/>
          <w:sz w:val="22"/>
          <w:szCs w:val="22"/>
        </w:rPr>
        <w:t> </w:t>
      </w:r>
    </w:p>
    <w:p w14:paraId="45443BE5" w14:textId="77777777" w:rsidR="00624BA7" w:rsidRDefault="00624BA7" w:rsidP="00624BA7">
      <w:pPr>
        <w:pStyle w:val="xxp2"/>
        <w:spacing w:before="0" w:beforeAutospacing="0" w:after="0" w:afterAutospacing="0"/>
        <w:rPr>
          <w:rFonts w:ascii="Calibri" w:hAnsi="Calibri" w:cs="Calibri"/>
          <w:sz w:val="22"/>
          <w:szCs w:val="22"/>
        </w:rPr>
      </w:pPr>
      <w:r>
        <w:rPr>
          <w:rFonts w:ascii="Calibri" w:hAnsi="Calibri" w:cs="Calibri"/>
          <w:sz w:val="22"/>
          <w:szCs w:val="22"/>
        </w:rPr>
        <w:t> </w:t>
      </w:r>
    </w:p>
    <w:p w14:paraId="65BA99BB" w14:textId="77777777" w:rsidR="00624BA7" w:rsidRDefault="00624BA7" w:rsidP="00624BA7">
      <w:pPr>
        <w:pStyle w:val="xxp1"/>
        <w:spacing w:before="0" w:beforeAutospacing="0" w:after="0" w:afterAutospacing="0"/>
        <w:rPr>
          <w:rStyle w:val="xxs2"/>
          <w:b/>
          <w:bCs/>
        </w:rPr>
      </w:pPr>
      <w:r>
        <w:rPr>
          <w:rStyle w:val="xxapple-converted-space"/>
          <w:rFonts w:ascii="Calibri" w:hAnsi="Calibri" w:cs="Calibri"/>
          <w:sz w:val="22"/>
          <w:szCs w:val="22"/>
        </w:rPr>
        <w:t> </w:t>
      </w:r>
      <w:r>
        <w:rPr>
          <w:rStyle w:val="xxs2"/>
          <w:rFonts w:ascii="Calibri" w:hAnsi="Calibri" w:cs="Calibri"/>
          <w:b/>
          <w:bCs/>
          <w:sz w:val="22"/>
          <w:szCs w:val="22"/>
        </w:rPr>
        <w:t>Highlights include:</w:t>
      </w:r>
    </w:p>
    <w:p w14:paraId="42A87718" w14:textId="77777777" w:rsidR="00624BA7" w:rsidRDefault="00624BA7" w:rsidP="00624BA7">
      <w:pPr>
        <w:pStyle w:val="xxp1"/>
        <w:numPr>
          <w:ilvl w:val="0"/>
          <w:numId w:val="1"/>
        </w:numPr>
        <w:spacing w:before="0" w:beforeAutospacing="0" w:after="0" w:afterAutospacing="0"/>
        <w:rPr>
          <w:rStyle w:val="xxs2"/>
          <w:rFonts w:ascii="Calibri" w:eastAsia="Times New Roman" w:hAnsi="Calibri" w:cs="Calibri"/>
          <w:sz w:val="22"/>
          <w:szCs w:val="22"/>
        </w:rPr>
      </w:pPr>
      <w:r>
        <w:rPr>
          <w:rStyle w:val="xxs2"/>
          <w:rFonts w:ascii="Calibri" w:eastAsia="Times New Roman" w:hAnsi="Calibri" w:cs="Calibri"/>
          <w:sz w:val="22"/>
          <w:szCs w:val="22"/>
        </w:rPr>
        <w:t>Employment by ECU Health Physicians-Academic Employment Model</w:t>
      </w:r>
    </w:p>
    <w:p w14:paraId="53EDBD97" w14:textId="77777777" w:rsidR="00624BA7" w:rsidRDefault="00624BA7" w:rsidP="00624BA7">
      <w:pPr>
        <w:pStyle w:val="ListParagraph"/>
        <w:numPr>
          <w:ilvl w:val="0"/>
          <w:numId w:val="1"/>
        </w:numPr>
        <w:spacing w:after="160" w:line="252" w:lineRule="auto"/>
        <w:rPr>
          <w:rStyle w:val="xxs2"/>
          <w:rFonts w:eastAsia="Times New Roman"/>
        </w:rPr>
      </w:pPr>
      <w:r>
        <w:rPr>
          <w:rStyle w:val="xxs2"/>
          <w:rFonts w:eastAsia="Times New Roman"/>
        </w:rPr>
        <w:t xml:space="preserve">Growing 9-hospital physician led healthcare </w:t>
      </w:r>
      <w:proofErr w:type="gramStart"/>
      <w:r>
        <w:rPr>
          <w:rStyle w:val="xxs2"/>
          <w:rFonts w:eastAsia="Times New Roman"/>
        </w:rPr>
        <w:t>system</w:t>
      </w:r>
      <w:proofErr w:type="gramEnd"/>
    </w:p>
    <w:p w14:paraId="628F3CF2" w14:textId="77777777" w:rsidR="00624BA7" w:rsidRDefault="00624BA7" w:rsidP="00624BA7">
      <w:pPr>
        <w:pStyle w:val="ListParagraph"/>
        <w:numPr>
          <w:ilvl w:val="0"/>
          <w:numId w:val="1"/>
        </w:numPr>
        <w:spacing w:line="252" w:lineRule="auto"/>
      </w:pPr>
      <w:r>
        <w:rPr>
          <w:rStyle w:val="xxs2"/>
          <w:rFonts w:eastAsia="Times New Roman"/>
        </w:rPr>
        <w:t>Regional referral, acute care, tertiary care hospital </w:t>
      </w:r>
    </w:p>
    <w:p w14:paraId="2C21E9C1" w14:textId="77777777" w:rsidR="00624BA7" w:rsidRDefault="00624BA7" w:rsidP="00624BA7">
      <w:pPr>
        <w:pStyle w:val="xxp1"/>
        <w:numPr>
          <w:ilvl w:val="0"/>
          <w:numId w:val="1"/>
        </w:numPr>
        <w:spacing w:before="0" w:beforeAutospacing="0" w:after="0" w:afterAutospacing="0"/>
        <w:rPr>
          <w:rFonts w:ascii="Calibri" w:eastAsia="Times New Roman" w:hAnsi="Calibri" w:cs="Calibri"/>
          <w:sz w:val="22"/>
          <w:szCs w:val="22"/>
        </w:rPr>
      </w:pPr>
      <w:r>
        <w:rPr>
          <w:rStyle w:val="xxs2"/>
          <w:rFonts w:ascii="Calibri" w:eastAsia="Times New Roman" w:hAnsi="Calibri" w:cs="Calibri"/>
          <w:sz w:val="22"/>
          <w:szCs w:val="22"/>
        </w:rPr>
        <w:t>Hospital privileges at ECU Health Medical Center, 974-bed, Level 1 Adult and Pediatric Trauma Center</w:t>
      </w:r>
    </w:p>
    <w:p w14:paraId="2C1162C9" w14:textId="77777777" w:rsidR="00624BA7" w:rsidRDefault="00624BA7" w:rsidP="00624BA7">
      <w:pPr>
        <w:pStyle w:val="xxp1"/>
        <w:numPr>
          <w:ilvl w:val="0"/>
          <w:numId w:val="1"/>
        </w:numPr>
        <w:spacing w:before="0" w:beforeAutospacing="0" w:after="0" w:afterAutospacing="0"/>
        <w:rPr>
          <w:rFonts w:ascii="Calibri" w:eastAsia="Times New Roman" w:hAnsi="Calibri" w:cs="Calibri"/>
          <w:sz w:val="22"/>
          <w:szCs w:val="22"/>
        </w:rPr>
      </w:pPr>
      <w:r>
        <w:rPr>
          <w:rStyle w:val="xxs2"/>
          <w:rFonts w:ascii="Calibri" w:eastAsia="Times New Roman" w:hAnsi="Calibri" w:cs="Calibri"/>
          <w:sz w:val="22"/>
          <w:szCs w:val="22"/>
        </w:rPr>
        <w:t>Dedicated Pediatric 16-bed Emergency Department within the adjacent Children’s Hospital</w:t>
      </w:r>
    </w:p>
    <w:p w14:paraId="32079269" w14:textId="77777777" w:rsidR="00624BA7" w:rsidRDefault="00624BA7" w:rsidP="00624BA7">
      <w:pPr>
        <w:pStyle w:val="xxp1"/>
        <w:numPr>
          <w:ilvl w:val="0"/>
          <w:numId w:val="1"/>
        </w:numPr>
        <w:spacing w:before="0" w:beforeAutospacing="0" w:after="0" w:afterAutospacing="0"/>
        <w:rPr>
          <w:rFonts w:ascii="Calibri" w:eastAsia="Times New Roman" w:hAnsi="Calibri" w:cs="Calibri"/>
          <w:sz w:val="22"/>
          <w:szCs w:val="22"/>
        </w:rPr>
      </w:pPr>
      <w:r>
        <w:rPr>
          <w:rStyle w:val="xxs2"/>
          <w:rFonts w:ascii="Calibri" w:eastAsia="Times New Roman" w:hAnsi="Calibri" w:cs="Calibri"/>
          <w:sz w:val="22"/>
          <w:szCs w:val="22"/>
        </w:rPr>
        <w:t>An expanding Community Hospital Emergency Departments affiliations</w:t>
      </w:r>
    </w:p>
    <w:p w14:paraId="6788945E" w14:textId="77777777" w:rsidR="00624BA7" w:rsidRDefault="00624BA7" w:rsidP="00624BA7">
      <w:pPr>
        <w:pStyle w:val="xxp1"/>
        <w:numPr>
          <w:ilvl w:val="0"/>
          <w:numId w:val="1"/>
        </w:numPr>
        <w:spacing w:before="0" w:beforeAutospacing="0" w:after="0" w:afterAutospacing="0"/>
        <w:rPr>
          <w:rFonts w:ascii="Calibri" w:eastAsia="Times New Roman" w:hAnsi="Calibri" w:cs="Calibri"/>
          <w:sz w:val="22"/>
          <w:szCs w:val="22"/>
        </w:rPr>
      </w:pPr>
      <w:r>
        <w:rPr>
          <w:rStyle w:val="xxs2"/>
          <w:rFonts w:ascii="Calibri" w:eastAsia="Times New Roman" w:hAnsi="Calibri" w:cs="Calibri"/>
          <w:sz w:val="22"/>
          <w:szCs w:val="22"/>
        </w:rPr>
        <w:t>Affiliation with the North Carolina Poison Center</w:t>
      </w:r>
      <w:r>
        <w:rPr>
          <w:rStyle w:val="xxapple-converted-space"/>
          <w:rFonts w:ascii="Calibri" w:eastAsia="Times New Roman" w:hAnsi="Calibri" w:cs="Calibri"/>
          <w:sz w:val="22"/>
          <w:szCs w:val="22"/>
        </w:rPr>
        <w:t> </w:t>
      </w:r>
    </w:p>
    <w:p w14:paraId="7DB0CC43" w14:textId="77777777" w:rsidR="00624BA7" w:rsidRDefault="00624BA7" w:rsidP="00624BA7">
      <w:pPr>
        <w:pStyle w:val="xxp1"/>
        <w:numPr>
          <w:ilvl w:val="0"/>
          <w:numId w:val="1"/>
        </w:numPr>
        <w:spacing w:before="0" w:beforeAutospacing="0" w:after="0" w:afterAutospacing="0"/>
        <w:rPr>
          <w:rStyle w:val="xxs2"/>
        </w:rPr>
      </w:pPr>
      <w:r>
        <w:rPr>
          <w:rStyle w:val="xxs2"/>
          <w:rFonts w:ascii="Calibri" w:eastAsia="Times New Roman" w:hAnsi="Calibri" w:cs="Calibri"/>
          <w:sz w:val="22"/>
          <w:szCs w:val="22"/>
        </w:rPr>
        <w:t xml:space="preserve">Accredited 3-year Emergency Medicine Residency Program with fellowships in EMS and Sports Medicine </w:t>
      </w:r>
    </w:p>
    <w:p w14:paraId="029918AF" w14:textId="77777777" w:rsidR="00624BA7" w:rsidRDefault="00624BA7" w:rsidP="00624BA7">
      <w:pPr>
        <w:pStyle w:val="xxp1"/>
        <w:numPr>
          <w:ilvl w:val="0"/>
          <w:numId w:val="1"/>
        </w:numPr>
      </w:pPr>
      <w:r>
        <w:rPr>
          <w:rFonts w:ascii="Calibri" w:eastAsia="Times New Roman" w:hAnsi="Calibri" w:cs="Calibri"/>
          <w:sz w:val="22"/>
          <w:szCs w:val="22"/>
        </w:rPr>
        <w:t xml:space="preserve">Core EM point of care ultrasound (POCUS) </w:t>
      </w:r>
      <w:proofErr w:type="gramStart"/>
      <w:r>
        <w:rPr>
          <w:rFonts w:ascii="Calibri" w:eastAsia="Times New Roman" w:hAnsi="Calibri" w:cs="Calibri"/>
          <w:sz w:val="22"/>
          <w:szCs w:val="22"/>
        </w:rPr>
        <w:t>training</w:t>
      </w:r>
      <w:proofErr w:type="gramEnd"/>
    </w:p>
    <w:p w14:paraId="4654AC3E" w14:textId="77777777" w:rsidR="00624BA7" w:rsidRDefault="00624BA7" w:rsidP="00624BA7">
      <w:pPr>
        <w:pStyle w:val="xxp1"/>
        <w:spacing w:before="0" w:beforeAutospacing="0" w:after="0" w:afterAutospacing="0"/>
        <w:rPr>
          <w:rFonts w:ascii="Calibri" w:hAnsi="Calibri" w:cs="Calibri"/>
          <w:sz w:val="22"/>
          <w:szCs w:val="22"/>
        </w:rPr>
      </w:pPr>
      <w:r>
        <w:rPr>
          <w:rStyle w:val="xxs2"/>
          <w:rFonts w:ascii="Calibri" w:hAnsi="Calibri" w:cs="Calibri"/>
          <w:b/>
          <w:bCs/>
          <w:sz w:val="22"/>
          <w:szCs w:val="22"/>
        </w:rPr>
        <w:t>Requirements</w:t>
      </w:r>
      <w:r>
        <w:rPr>
          <w:rStyle w:val="xxs2"/>
          <w:rFonts w:ascii="Calibri" w:hAnsi="Calibri" w:cs="Calibri"/>
          <w:sz w:val="22"/>
          <w:szCs w:val="22"/>
        </w:rPr>
        <w:t>:</w:t>
      </w:r>
    </w:p>
    <w:p w14:paraId="3960A8FB" w14:textId="77777777" w:rsidR="00624BA7" w:rsidRDefault="00624BA7" w:rsidP="00624BA7">
      <w:pPr>
        <w:pStyle w:val="xxp1"/>
        <w:numPr>
          <w:ilvl w:val="0"/>
          <w:numId w:val="2"/>
        </w:numPr>
        <w:spacing w:before="0" w:beforeAutospacing="0" w:after="0" w:afterAutospacing="0"/>
        <w:rPr>
          <w:rFonts w:ascii="Calibri" w:eastAsia="Times New Roman" w:hAnsi="Calibri" w:cs="Calibri"/>
          <w:sz w:val="22"/>
          <w:szCs w:val="22"/>
        </w:rPr>
      </w:pPr>
      <w:r>
        <w:rPr>
          <w:rStyle w:val="xxs2"/>
          <w:rFonts w:ascii="Calibri" w:eastAsia="Times New Roman" w:hAnsi="Calibri" w:cs="Calibri"/>
          <w:sz w:val="22"/>
          <w:szCs w:val="22"/>
        </w:rPr>
        <w:t>Board certification in Emergency Medicine and Toxicology (or eligibility for recent Toxicology Fellowship graduates)</w:t>
      </w:r>
    </w:p>
    <w:p w14:paraId="4C3F8996" w14:textId="77777777" w:rsidR="00624BA7" w:rsidRDefault="00624BA7" w:rsidP="00624BA7">
      <w:pPr>
        <w:pStyle w:val="xxp1"/>
        <w:numPr>
          <w:ilvl w:val="0"/>
          <w:numId w:val="2"/>
        </w:numPr>
        <w:spacing w:before="0" w:beforeAutospacing="0" w:after="0" w:afterAutospacing="0"/>
        <w:rPr>
          <w:rFonts w:ascii="Calibri" w:eastAsia="Times New Roman" w:hAnsi="Calibri" w:cs="Calibri"/>
          <w:sz w:val="22"/>
          <w:szCs w:val="22"/>
        </w:rPr>
      </w:pPr>
      <w:r>
        <w:rPr>
          <w:rStyle w:val="xxs2"/>
          <w:rFonts w:ascii="Calibri" w:eastAsia="Times New Roman" w:hAnsi="Calibri" w:cs="Calibri"/>
          <w:sz w:val="22"/>
          <w:szCs w:val="22"/>
        </w:rPr>
        <w:t>Track record of contributions to Emergency Medicine and Toxicology subspecialty practice, education, and scholarship</w:t>
      </w:r>
    </w:p>
    <w:p w14:paraId="3C8E289E" w14:textId="77777777" w:rsidR="00624BA7" w:rsidRDefault="00624BA7" w:rsidP="00624BA7">
      <w:pPr>
        <w:pStyle w:val="xxp1"/>
        <w:numPr>
          <w:ilvl w:val="0"/>
          <w:numId w:val="2"/>
        </w:numPr>
        <w:spacing w:before="0" w:beforeAutospacing="0" w:after="0" w:afterAutospacing="0"/>
        <w:rPr>
          <w:rFonts w:ascii="Calibri" w:eastAsia="Times New Roman" w:hAnsi="Calibri" w:cs="Calibri"/>
          <w:sz w:val="22"/>
          <w:szCs w:val="22"/>
        </w:rPr>
      </w:pPr>
      <w:r>
        <w:rPr>
          <w:rStyle w:val="xxs2"/>
          <w:rFonts w:ascii="Calibri" w:eastAsia="Times New Roman" w:hAnsi="Calibri" w:cs="Calibri"/>
          <w:sz w:val="22"/>
          <w:szCs w:val="22"/>
        </w:rPr>
        <w:t>Active clinical practice of emergency medicine and medical toxicology consultation</w:t>
      </w:r>
    </w:p>
    <w:p w14:paraId="34B9092B" w14:textId="77777777" w:rsidR="00624BA7" w:rsidRDefault="00624BA7" w:rsidP="00624BA7">
      <w:pPr>
        <w:rPr>
          <w:b/>
          <w:bCs/>
        </w:rPr>
      </w:pPr>
    </w:p>
    <w:p w14:paraId="39A1934F" w14:textId="77777777" w:rsidR="00624BA7" w:rsidRDefault="00624BA7" w:rsidP="00624BA7">
      <w:pPr>
        <w:rPr>
          <w:b/>
          <w:bCs/>
        </w:rPr>
      </w:pPr>
      <w:r>
        <w:rPr>
          <w:b/>
          <w:bCs/>
        </w:rPr>
        <w:t>ECU Health Physicians</w:t>
      </w:r>
    </w:p>
    <w:p w14:paraId="069D0BA1" w14:textId="77777777" w:rsidR="00624BA7" w:rsidRDefault="00624BA7" w:rsidP="00624BA7">
      <w:r>
        <w:t xml:space="preserve">ECU Health is a mission-driven, 1,708-bed academic health care system serving more than 1.4 million people in 29 eastern North Carolina counties. The not-for-profit system is comprised of 13,000 team members, nine hospitals and a physician group that encompasses over 1,100 academic and community providers practicing in over 185 primary and specialty clinics located in more than 110 locations. The flagship ECU Health Medical Center, a Level I Trauma Center, and ECU Health Maynard Children’s Hospital serve as the primary teaching hospitals for the Brody School of Medicine at East Carolina University. ECU Health and the Brody School of Medicine share a combined academic mission to improve the health and well-being of eastern North Carolina through patient care, </w:t>
      </w:r>
      <w:proofErr w:type="gramStart"/>
      <w:r>
        <w:t>education</w:t>
      </w:r>
      <w:proofErr w:type="gramEnd"/>
      <w:r>
        <w:t xml:space="preserve"> and research. </w:t>
      </w:r>
      <w:hyperlink r:id="rId5" w:history="1">
        <w:r>
          <w:rPr>
            <w:rStyle w:val="Hyperlink"/>
          </w:rPr>
          <w:t>www.ecuhealth.org</w:t>
        </w:r>
      </w:hyperlink>
    </w:p>
    <w:p w14:paraId="51D3CF5E" w14:textId="77777777" w:rsidR="00624BA7" w:rsidRDefault="00624BA7" w:rsidP="00624BA7"/>
    <w:p w14:paraId="45C7259C" w14:textId="77777777" w:rsidR="00624BA7" w:rsidRDefault="00624BA7" w:rsidP="00624BA7">
      <w:r>
        <w:t xml:space="preserve">ECU Health Physicians includes an academic practice model (ECU employment) and a community practice model (health system employment). There is shared leadership and shared services to support the overall group and to ensure alignment for clinical care, research, </w:t>
      </w:r>
      <w:proofErr w:type="gramStart"/>
      <w:r>
        <w:t>education</w:t>
      </w:r>
      <w:proofErr w:type="gramEnd"/>
      <w:r>
        <w:t xml:space="preserve"> and strategy.</w:t>
      </w:r>
    </w:p>
    <w:p w14:paraId="03FAB10F" w14:textId="77777777" w:rsidR="00624BA7" w:rsidRDefault="00624BA7" w:rsidP="00624BA7"/>
    <w:p w14:paraId="436748B1" w14:textId="77777777" w:rsidR="00624BA7" w:rsidRDefault="00624BA7" w:rsidP="00624BA7">
      <w:r>
        <w:t>This innovative structure creates opportunities within ECU Health Physicians ranging from acute to ambulatory, academic practice to community practice, regional to rural, and everything in between.</w:t>
      </w:r>
    </w:p>
    <w:p w14:paraId="6C5C89A3" w14:textId="77777777" w:rsidR="00624BA7" w:rsidRDefault="00624BA7" w:rsidP="00624BA7"/>
    <w:p w14:paraId="35191C2A" w14:textId="77777777" w:rsidR="00624BA7" w:rsidRDefault="00624BA7" w:rsidP="00624BA7">
      <w:pPr>
        <w:rPr>
          <w:b/>
          <w:bCs/>
        </w:rPr>
      </w:pPr>
      <w:r>
        <w:rPr>
          <w:b/>
          <w:bCs/>
        </w:rPr>
        <w:t>Greenville, NC</w:t>
      </w:r>
    </w:p>
    <w:p w14:paraId="1F5A4B1B" w14:textId="77777777" w:rsidR="00624BA7" w:rsidRDefault="00624BA7" w:rsidP="00624BA7">
      <w:r>
        <w:t xml:space="preserve">Widely recognized as the thriving cultural, educational, </w:t>
      </w:r>
      <w:proofErr w:type="gramStart"/>
      <w:r>
        <w:t>economic</w:t>
      </w:r>
      <w:proofErr w:type="gramEnd"/>
      <w:r>
        <w:t xml:space="preserve"> and medical hub of eastern North Carolina, Greenville is the 10th largest city in the state with a metropolitan population of nearly 100,000. </w:t>
      </w:r>
      <w:r>
        <w:lastRenderedPageBreak/>
        <w:t xml:space="preserve">The Dickinson Avenue Arts District offers a </w:t>
      </w:r>
      <w:proofErr w:type="gramStart"/>
      <w:r>
        <w:t>vibrant arts</w:t>
      </w:r>
      <w:proofErr w:type="gramEnd"/>
      <w:r>
        <w:t xml:space="preserve">, music, culinary and festival scene in the Uptown Greenville district. Greenville is also home to East Carolina University, the Brody School of Medicine, and Pitt Community College. Excellent affordability, convenient location and natural resources combined with </w:t>
      </w:r>
      <w:proofErr w:type="gramStart"/>
      <w:r>
        <w:t>all of</w:t>
      </w:r>
      <w:proofErr w:type="gramEnd"/>
      <w:r>
        <w:t xml:space="preserve"> the amenities of a metropolitan university town, Greenville is the perfect place to live, work and play!</w:t>
      </w:r>
    </w:p>
    <w:p w14:paraId="66000819" w14:textId="77777777" w:rsidR="00624BA7" w:rsidRDefault="00624BA7" w:rsidP="00624BA7">
      <w:pPr>
        <w:pStyle w:val="ListParagraph"/>
        <w:numPr>
          <w:ilvl w:val="0"/>
          <w:numId w:val="3"/>
        </w:numPr>
        <w:spacing w:after="160" w:line="252" w:lineRule="auto"/>
        <w:rPr>
          <w:rFonts w:eastAsia="Times New Roman"/>
        </w:rPr>
      </w:pPr>
      <w:r>
        <w:rPr>
          <w:rFonts w:eastAsia="Times New Roman"/>
        </w:rPr>
        <w:t xml:space="preserve">Located inland </w:t>
      </w:r>
      <w:proofErr w:type="gramStart"/>
      <w:r>
        <w:rPr>
          <w:rFonts w:eastAsia="Times New Roman"/>
        </w:rPr>
        <w:t>off of</w:t>
      </w:r>
      <w:proofErr w:type="gramEnd"/>
      <w:r>
        <w:rPr>
          <w:rFonts w:eastAsia="Times New Roman"/>
        </w:rPr>
        <w:t xml:space="preserve"> the North Carolina coast, Greenville is 45 miles east of interstate 95, just over an hour to Raleigh, a little over an hour to the pristine beaches of the Crystal Coast of NC</w:t>
      </w:r>
    </w:p>
    <w:p w14:paraId="2A439740" w14:textId="77777777" w:rsidR="00624BA7" w:rsidRDefault="00624BA7" w:rsidP="00624BA7">
      <w:pPr>
        <w:pStyle w:val="ListParagraph"/>
        <w:numPr>
          <w:ilvl w:val="0"/>
          <w:numId w:val="3"/>
        </w:numPr>
        <w:spacing w:after="160" w:line="252" w:lineRule="auto"/>
        <w:rPr>
          <w:rFonts w:eastAsia="Times New Roman"/>
        </w:rPr>
      </w:pPr>
      <w:r>
        <w:rPr>
          <w:rFonts w:eastAsia="Times New Roman"/>
        </w:rPr>
        <w:t>Home to East Carolina University (ECU), a vibrant university with an annual enrollment of more than 24,000 students</w:t>
      </w:r>
    </w:p>
    <w:p w14:paraId="7E0E48DD" w14:textId="77777777" w:rsidR="00624BA7" w:rsidRDefault="00624BA7" w:rsidP="00624BA7">
      <w:pPr>
        <w:pStyle w:val="ListParagraph"/>
        <w:numPr>
          <w:ilvl w:val="0"/>
          <w:numId w:val="3"/>
        </w:numPr>
        <w:spacing w:after="160" w:line="252" w:lineRule="auto"/>
        <w:rPr>
          <w:rFonts w:eastAsia="Times New Roman"/>
        </w:rPr>
      </w:pPr>
      <w:r>
        <w:rPr>
          <w:rFonts w:eastAsia="Times New Roman"/>
        </w:rPr>
        <w:t xml:space="preserve">Numerous waterways and the Greenville Greenway System are perfect for boating, kayaking, fishing, hiking and </w:t>
      </w:r>
      <w:proofErr w:type="gramStart"/>
      <w:r>
        <w:rPr>
          <w:rFonts w:eastAsia="Times New Roman"/>
        </w:rPr>
        <w:t>camping</w:t>
      </w:r>
      <w:proofErr w:type="gramEnd"/>
    </w:p>
    <w:p w14:paraId="050E4598" w14:textId="77777777" w:rsidR="00624BA7" w:rsidRDefault="00624BA7" w:rsidP="00624BA7">
      <w:pPr>
        <w:pStyle w:val="ListParagraph"/>
        <w:numPr>
          <w:ilvl w:val="0"/>
          <w:numId w:val="3"/>
        </w:numPr>
        <w:spacing w:after="160" w:line="252" w:lineRule="auto"/>
        <w:rPr>
          <w:rFonts w:eastAsia="Times New Roman"/>
        </w:rPr>
      </w:pPr>
      <w:r>
        <w:rPr>
          <w:rFonts w:eastAsia="Times New Roman"/>
        </w:rPr>
        <w:t>Mild climate perfect for year-round outdoor activities</w:t>
      </w:r>
    </w:p>
    <w:p w14:paraId="0F907CB6" w14:textId="77777777" w:rsidR="00624BA7" w:rsidRDefault="00624BA7" w:rsidP="00624BA7">
      <w:pPr>
        <w:pStyle w:val="ListParagraph"/>
        <w:numPr>
          <w:ilvl w:val="0"/>
          <w:numId w:val="3"/>
        </w:numPr>
        <w:spacing w:after="160" w:line="252" w:lineRule="auto"/>
        <w:rPr>
          <w:rFonts w:eastAsia="Times New Roman"/>
        </w:rPr>
      </w:pPr>
      <w:r>
        <w:rPr>
          <w:rFonts w:eastAsia="Times New Roman"/>
        </w:rPr>
        <w:t xml:space="preserve">Cost of living below the national average, diverse and affordable </w:t>
      </w:r>
      <w:proofErr w:type="gramStart"/>
      <w:r>
        <w:rPr>
          <w:rFonts w:eastAsia="Times New Roman"/>
        </w:rPr>
        <w:t>housing</w:t>
      </w:r>
      <w:proofErr w:type="gramEnd"/>
      <w:r>
        <w:rPr>
          <w:rFonts w:eastAsia="Times New Roman"/>
        </w:rPr>
        <w:t xml:space="preserve"> and excellent educational opportunities, both public and private</w:t>
      </w:r>
    </w:p>
    <w:p w14:paraId="350D1734" w14:textId="77777777" w:rsidR="00624BA7" w:rsidRDefault="00624BA7" w:rsidP="00624BA7">
      <w:pPr>
        <w:pStyle w:val="ListParagraph"/>
        <w:numPr>
          <w:ilvl w:val="0"/>
          <w:numId w:val="3"/>
        </w:numPr>
        <w:spacing w:after="160" w:line="252" w:lineRule="auto"/>
        <w:rPr>
          <w:rFonts w:eastAsia="Times New Roman"/>
        </w:rPr>
      </w:pPr>
      <w:r>
        <w:rPr>
          <w:rFonts w:eastAsia="Times New Roman"/>
        </w:rPr>
        <w:t>Investment of more than $500 million in downtown Greenville’s revitalization bringing new restaurants, shops, businesses, and residents to the area</w:t>
      </w:r>
    </w:p>
    <w:p w14:paraId="523FEB80" w14:textId="77777777" w:rsidR="00624BA7" w:rsidRDefault="00624BA7" w:rsidP="00624BA7"/>
    <w:p w14:paraId="793A5D85" w14:textId="77777777" w:rsidR="00624BA7" w:rsidRDefault="00624BA7" w:rsidP="00624BA7">
      <w:pPr>
        <w:rPr>
          <w:b/>
          <w:bCs/>
        </w:rPr>
      </w:pPr>
      <w:r>
        <w:rPr>
          <w:b/>
          <w:bCs/>
        </w:rPr>
        <w:t>Contact Information</w:t>
      </w:r>
    </w:p>
    <w:p w14:paraId="4F22B738" w14:textId="77777777" w:rsidR="00624BA7" w:rsidRDefault="00624BA7" w:rsidP="00624BA7">
      <w:r>
        <w:t xml:space="preserve">If you, or a colleague, is interested in learning more about this opportunity, please contact Heather Kelly at (252) 406-4498 or </w:t>
      </w:r>
      <w:hyperlink r:id="rId6" w:history="1">
        <w:r>
          <w:rPr>
            <w:rStyle w:val="Hyperlink"/>
          </w:rPr>
          <w:t>Heather.Kelly@ecuhealth.org</w:t>
        </w:r>
      </w:hyperlink>
      <w:r>
        <w:t xml:space="preserve">.  </w:t>
      </w:r>
    </w:p>
    <w:p w14:paraId="01DBBB96" w14:textId="77777777" w:rsidR="00624BA7" w:rsidRDefault="00624BA7" w:rsidP="00624BA7"/>
    <w:p w14:paraId="65B80D9B" w14:textId="77777777" w:rsidR="00624BA7" w:rsidRDefault="00624BA7" w:rsidP="00624BA7">
      <w:pPr>
        <w:rPr>
          <w:b/>
          <w:bCs/>
        </w:rPr>
      </w:pPr>
      <w:r>
        <w:rPr>
          <w:b/>
          <w:bCs/>
        </w:rPr>
        <w:t>General Information</w:t>
      </w:r>
    </w:p>
    <w:p w14:paraId="60EEE247" w14:textId="77777777" w:rsidR="00624BA7" w:rsidRDefault="00624BA7" w:rsidP="00624BA7">
      <w:r>
        <w:t xml:space="preserve">It is the goal of ECU Health and its entities to employ the most qualified individual who best </w:t>
      </w:r>
      <w:proofErr w:type="gramStart"/>
      <w:r>
        <w:t>matches</w:t>
      </w:r>
      <w:proofErr w:type="gramEnd"/>
      <w:r>
        <w:t xml:space="preserve"> the requirements for the vacant position. Offers of employment are subject to successful completion of all pre-employment screenings. We value diversity and are proud to be an equal opportunity employer. Decisions of employment are made based on business needs, job requirements and applicant’s qualifications without regard to race, color, religion, gender, national origin, disability status, protected veteran status, genetic information and testing, family and medical leave, sexual orientation, gender identity or expression or any other status protected by law.</w:t>
      </w:r>
    </w:p>
    <w:p w14:paraId="63AEF7F1" w14:textId="77777777" w:rsidR="00014A33" w:rsidRDefault="00014A33"/>
    <w:sectPr w:rsidR="00014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ICTFontTextStyleBody">
    <w:charset w:val="00"/>
    <w:family w:val="auto"/>
    <w:pitch w:val="default"/>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232CC"/>
    <w:multiLevelType w:val="hybridMultilevel"/>
    <w:tmpl w:val="BF688198"/>
    <w:lvl w:ilvl="0" w:tplc="04090001">
      <w:start w:val="1"/>
      <w:numFmt w:val="bullet"/>
      <w:lvlText w:val=""/>
      <w:lvlJc w:val="left"/>
      <w:pPr>
        <w:ind w:left="720" w:hanging="360"/>
      </w:pPr>
      <w:rPr>
        <w:rFonts w:ascii="Symbol" w:hAnsi="Symbol" w:hint="default"/>
      </w:rPr>
    </w:lvl>
    <w:lvl w:ilvl="1" w:tplc="6BA413CC">
      <w:numFmt w:val="bullet"/>
      <w:lvlText w:val="·"/>
      <w:lvlJc w:val="left"/>
      <w:pPr>
        <w:ind w:left="1440" w:hanging="360"/>
      </w:pPr>
      <w:rPr>
        <w:rFonts w:ascii="UICTFontTextStyleBody" w:eastAsia="Calibri" w:hAnsi="UICTFontTextStyleBody" w:cs="Times New Roman" w:hint="default"/>
        <w:sz w:val="23"/>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C3B6B75"/>
    <w:multiLevelType w:val="hybridMultilevel"/>
    <w:tmpl w:val="78E41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1674604"/>
    <w:multiLevelType w:val="hybridMultilevel"/>
    <w:tmpl w:val="A7CA5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37464189">
    <w:abstractNumId w:val="0"/>
    <w:lvlOverride w:ilvl="0"/>
    <w:lvlOverride w:ilvl="1"/>
    <w:lvlOverride w:ilvl="2"/>
    <w:lvlOverride w:ilvl="3"/>
    <w:lvlOverride w:ilvl="4"/>
    <w:lvlOverride w:ilvl="5"/>
    <w:lvlOverride w:ilvl="6"/>
    <w:lvlOverride w:ilvl="7"/>
    <w:lvlOverride w:ilvl="8"/>
  </w:num>
  <w:num w:numId="2" w16cid:durableId="929310902">
    <w:abstractNumId w:val="1"/>
    <w:lvlOverride w:ilvl="0"/>
    <w:lvlOverride w:ilvl="1"/>
    <w:lvlOverride w:ilvl="2"/>
    <w:lvlOverride w:ilvl="3"/>
    <w:lvlOverride w:ilvl="4"/>
    <w:lvlOverride w:ilvl="5"/>
    <w:lvlOverride w:ilvl="6"/>
    <w:lvlOverride w:ilvl="7"/>
    <w:lvlOverride w:ilvl="8"/>
  </w:num>
  <w:num w:numId="3" w16cid:durableId="101603503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BA7"/>
    <w:rsid w:val="00014A33"/>
    <w:rsid w:val="00254612"/>
    <w:rsid w:val="003A6A69"/>
    <w:rsid w:val="00624BA7"/>
    <w:rsid w:val="0094048D"/>
    <w:rsid w:val="00FB0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A944B"/>
  <w15:chartTrackingRefBased/>
  <w15:docId w15:val="{7E25D462-A62E-4B39-B003-1618758C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BA7"/>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624B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4B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4B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4B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4B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4B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B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B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B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B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4B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4B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4B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4B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4B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B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B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BA7"/>
    <w:rPr>
      <w:rFonts w:eastAsiaTheme="majorEastAsia" w:cstheme="majorBidi"/>
      <w:color w:val="272727" w:themeColor="text1" w:themeTint="D8"/>
    </w:rPr>
  </w:style>
  <w:style w:type="paragraph" w:styleId="Title">
    <w:name w:val="Title"/>
    <w:basedOn w:val="Normal"/>
    <w:next w:val="Normal"/>
    <w:link w:val="TitleChar"/>
    <w:uiPriority w:val="10"/>
    <w:qFormat/>
    <w:rsid w:val="00624B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B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B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4B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BA7"/>
    <w:pPr>
      <w:spacing w:before="160"/>
      <w:jc w:val="center"/>
    </w:pPr>
    <w:rPr>
      <w:i/>
      <w:iCs/>
      <w:color w:val="404040" w:themeColor="text1" w:themeTint="BF"/>
    </w:rPr>
  </w:style>
  <w:style w:type="character" w:customStyle="1" w:styleId="QuoteChar">
    <w:name w:val="Quote Char"/>
    <w:basedOn w:val="DefaultParagraphFont"/>
    <w:link w:val="Quote"/>
    <w:uiPriority w:val="29"/>
    <w:rsid w:val="00624BA7"/>
    <w:rPr>
      <w:i/>
      <w:iCs/>
      <w:color w:val="404040" w:themeColor="text1" w:themeTint="BF"/>
    </w:rPr>
  </w:style>
  <w:style w:type="paragraph" w:styleId="ListParagraph">
    <w:name w:val="List Paragraph"/>
    <w:basedOn w:val="Normal"/>
    <w:uiPriority w:val="34"/>
    <w:qFormat/>
    <w:rsid w:val="00624BA7"/>
    <w:pPr>
      <w:ind w:left="720"/>
      <w:contextualSpacing/>
    </w:pPr>
  </w:style>
  <w:style w:type="character" w:styleId="IntenseEmphasis">
    <w:name w:val="Intense Emphasis"/>
    <w:basedOn w:val="DefaultParagraphFont"/>
    <w:uiPriority w:val="21"/>
    <w:qFormat/>
    <w:rsid w:val="00624BA7"/>
    <w:rPr>
      <w:i/>
      <w:iCs/>
      <w:color w:val="0F4761" w:themeColor="accent1" w:themeShade="BF"/>
    </w:rPr>
  </w:style>
  <w:style w:type="paragraph" w:styleId="IntenseQuote">
    <w:name w:val="Intense Quote"/>
    <w:basedOn w:val="Normal"/>
    <w:next w:val="Normal"/>
    <w:link w:val="IntenseQuoteChar"/>
    <w:uiPriority w:val="30"/>
    <w:qFormat/>
    <w:rsid w:val="00624B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4BA7"/>
    <w:rPr>
      <w:i/>
      <w:iCs/>
      <w:color w:val="0F4761" w:themeColor="accent1" w:themeShade="BF"/>
    </w:rPr>
  </w:style>
  <w:style w:type="character" w:styleId="IntenseReference">
    <w:name w:val="Intense Reference"/>
    <w:basedOn w:val="DefaultParagraphFont"/>
    <w:uiPriority w:val="32"/>
    <w:qFormat/>
    <w:rsid w:val="00624BA7"/>
    <w:rPr>
      <w:b/>
      <w:bCs/>
      <w:smallCaps/>
      <w:color w:val="0F4761" w:themeColor="accent1" w:themeShade="BF"/>
      <w:spacing w:val="5"/>
    </w:rPr>
  </w:style>
  <w:style w:type="character" w:styleId="Hyperlink">
    <w:name w:val="Hyperlink"/>
    <w:basedOn w:val="DefaultParagraphFont"/>
    <w:uiPriority w:val="99"/>
    <w:semiHidden/>
    <w:unhideWhenUsed/>
    <w:rsid w:val="00624BA7"/>
    <w:rPr>
      <w:color w:val="0563C1"/>
      <w:u w:val="single"/>
    </w:rPr>
  </w:style>
  <w:style w:type="paragraph" w:customStyle="1" w:styleId="xxp1">
    <w:name w:val="x_xp1"/>
    <w:basedOn w:val="Normal"/>
    <w:rsid w:val="00624BA7"/>
    <w:pPr>
      <w:spacing w:before="100" w:beforeAutospacing="1" w:after="100" w:afterAutospacing="1"/>
    </w:pPr>
    <w:rPr>
      <w:rFonts w:ascii="Times New Roman" w:hAnsi="Times New Roman" w:cs="Times New Roman"/>
      <w:sz w:val="24"/>
      <w:szCs w:val="24"/>
    </w:rPr>
  </w:style>
  <w:style w:type="paragraph" w:customStyle="1" w:styleId="xxp2">
    <w:name w:val="x_xp2"/>
    <w:basedOn w:val="Normal"/>
    <w:rsid w:val="00624BA7"/>
    <w:pPr>
      <w:spacing w:before="100" w:beforeAutospacing="1" w:after="100" w:afterAutospacing="1"/>
    </w:pPr>
    <w:rPr>
      <w:rFonts w:ascii="Times New Roman" w:hAnsi="Times New Roman" w:cs="Times New Roman"/>
      <w:sz w:val="24"/>
      <w:szCs w:val="24"/>
    </w:rPr>
  </w:style>
  <w:style w:type="character" w:customStyle="1" w:styleId="xxapple-converted-space">
    <w:name w:val="x_xapple-converted-space"/>
    <w:basedOn w:val="DefaultParagraphFont"/>
    <w:rsid w:val="00624BA7"/>
  </w:style>
  <w:style w:type="character" w:customStyle="1" w:styleId="xxs2">
    <w:name w:val="x_xs2"/>
    <w:basedOn w:val="DefaultParagraphFont"/>
    <w:rsid w:val="00624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50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ather.Kelly@ecuhealth.org" TargetMode="External"/><Relationship Id="rId5" Type="http://schemas.openxmlformats.org/officeDocument/2006/relationships/hyperlink" Target="http://www.ecuhealt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4379</Characters>
  <Application>Microsoft Office Word</Application>
  <DocSecurity>0</DocSecurity>
  <Lines>36</Lines>
  <Paragraphs>10</Paragraphs>
  <ScaleCrop>false</ScaleCrop>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Konrath</dc:creator>
  <cp:keywords/>
  <dc:description/>
  <cp:lastModifiedBy>Jessica Konrath</cp:lastModifiedBy>
  <cp:revision>2</cp:revision>
  <dcterms:created xsi:type="dcterms:W3CDTF">2024-03-21T18:26:00Z</dcterms:created>
  <dcterms:modified xsi:type="dcterms:W3CDTF">2024-03-21T18:26:00Z</dcterms:modified>
</cp:coreProperties>
</file>